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0" w:firstLine="0"/>
        <w:contextualSpacing w:val="0"/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Fonts w:ascii="Anton" w:cs="Anton" w:eastAsia="Anton" w:hAnsi="Anton"/>
          <w:sz w:val="36"/>
          <w:szCs w:val="36"/>
          <w:rtl w:val="0"/>
        </w:rPr>
        <w:t xml:space="preserve">Draw the Golden Statue                     Draw Shadrach, Meshach, </w:t>
      </w:r>
    </w:p>
    <w:p w:rsidR="00000000" w:rsidDel="00000000" w:rsidP="00000000" w:rsidRDefault="00000000" w:rsidRPr="00000000">
      <w:pPr>
        <w:ind w:left="5760" w:firstLine="0"/>
        <w:contextualSpacing w:val="0"/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Fonts w:ascii="Anton" w:cs="Anton" w:eastAsia="Anton" w:hAnsi="Anton"/>
          <w:sz w:val="36"/>
          <w:szCs w:val="36"/>
          <w:rtl w:val="0"/>
        </w:rPr>
        <w:t xml:space="preserve">and Abednego</w:t>
      </w:r>
    </w:p>
    <w:tbl>
      <w:tblPr>
        <w:tblStyle w:val="Table1"/>
        <w:tblW w:w="89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10"/>
        <w:gridCol w:w="4560"/>
        <w:tblGridChange w:id="0">
          <w:tblGrid>
            <w:gridCol w:w="4410"/>
            <w:gridCol w:w="4560"/>
          </w:tblGrid>
        </w:tblGridChange>
      </w:tblGrid>
      <w:tr>
        <w:trPr>
          <w:trHeight w:val="48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nton" w:cs="Anton" w:eastAsia="Anton" w:hAnsi="Anto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nton" w:cs="Anton" w:eastAsia="Anton" w:hAnsi="Anto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Fonts w:ascii="Anton" w:cs="Anton" w:eastAsia="Anton" w:hAnsi="Anton"/>
          <w:sz w:val="36"/>
          <w:szCs w:val="36"/>
          <w:rtl w:val="0"/>
        </w:rPr>
        <w:t xml:space="preserve">Draw Shadrach, Meshach,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Fonts w:ascii="Anton" w:cs="Anton" w:eastAsia="Anton" w:hAnsi="Anton"/>
          <w:sz w:val="36"/>
          <w:szCs w:val="36"/>
          <w:rtl w:val="0"/>
        </w:rPr>
        <w:t xml:space="preserve">Abednego, and Jesus </w:t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Fonts w:ascii="Anton" w:cs="Anton" w:eastAsia="Anton" w:hAnsi="Anton"/>
          <w:sz w:val="36"/>
          <w:szCs w:val="36"/>
          <w:rtl w:val="0"/>
        </w:rPr>
        <w:t xml:space="preserve">in the Fiery Furnace</w:t>
      </w:r>
    </w:p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trHeight w:val="44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nton" w:cs="Anton" w:eastAsia="Anton" w:hAnsi="Anton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Anton" w:cs="Anton" w:eastAsia="Anton" w:hAnsi="Anton"/>
          <w:sz w:val="36"/>
          <w:szCs w:val="36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nton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/Relationships>
</file>