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Elementary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the Sheep</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game Protect the Sheep, just by the title, emulates this theme. This game is all about protecting someone. The sheepdogs protect the sheep from the coyotes. It’s a fun game that the children should enjoy!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stated before, there are three characters, the sheepdogs, the sheep, and the coyote. One person is the sheep, one person is the coyote, and the rest are sheepdogs. The sheepdogs stand in a circle facing outwards, locking arm-in-arm. The sheep stands in the middle of this circle. The coyote stands on the outside of the circle and tries to reach through and tag the sheep. The sheepdogs try to keep the coyote from tagging the sheep by moving around, but they must remain locked arm-in-arm. Once the sheep is tagged by the coyote, switch which members of the group are the sheep and coyote.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another day of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them what the theme of the day is (God protects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tell them briefly how God and Jesus protected Shadrach, Meshach, and Abednego in the fiery furnace.</w:t>
      </w:r>
    </w:p>
    <w:p w:rsidR="00000000" w:rsidDel="00000000" w:rsidP="00000000" w:rsidRDefault="00000000" w:rsidRPr="00000000">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this.</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which members will be the coyote and the sheep.</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sheep has been tagged, change roles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http://childrensministry.com/articles/10-active-indoor-games</w:t>
        </w:r>
      </w:hyperlink>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hildrensministry.com/articles/10-active-indoor-games" TargetMode="External"/></Relationships>
</file>